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3"/>
        <w:spacing w:before="200" w:lineRule="auto"/>
        <w:rPr/>
      </w:pPr>
      <w:bookmarkStart w:colFirst="0" w:colLast="0" w:name="_pkfzjn4tozt2" w:id="0"/>
      <w:bookmarkEnd w:id="0"/>
      <w:r w:rsidDel="00000000" w:rsidR="00000000" w:rsidRPr="00000000">
        <w:rPr>
          <w:rtl w:val="0"/>
        </w:rPr>
        <w:t xml:space="preserve">Using our cooking and nutrition resources in the primary classroom: a checklist </w:t>
      </w:r>
    </w:p>
    <w:p w:rsidR="00000000" w:rsidDel="00000000" w:rsidP="00000000" w:rsidRDefault="00000000" w:rsidRPr="00000000" w14:paraId="00000002">
      <w:pPr>
        <w:rPr/>
      </w:pPr>
      <w:r w:rsidDel="00000000" w:rsidR="00000000" w:rsidRPr="00000000">
        <w:rPr>
          <w:rtl w:val="0"/>
        </w:rPr>
        <w:t xml:space="preserve">Thorough planning and preparation are essential to ensuring that all food sessions are safe and enjoyable. The following checklist is designed to help you organise safe food preparation and cooking sessions.</w:t>
      </w:r>
    </w:p>
    <w:p w:rsidR="00000000" w:rsidDel="00000000" w:rsidP="00000000" w:rsidRDefault="00000000" w:rsidRPr="00000000" w14:paraId="00000003">
      <w:pPr>
        <w:spacing w:line="276" w:lineRule="auto"/>
        <w:jc w:val="both"/>
        <w:rPr/>
      </w:pPr>
      <w:r w:rsidDel="00000000" w:rsidR="00000000" w:rsidRPr="00000000">
        <w:rPr>
          <w:rtl w:val="0"/>
        </w:rPr>
      </w:r>
    </w:p>
    <w:p w:rsidR="00000000" w:rsidDel="00000000" w:rsidP="00000000" w:rsidRDefault="00000000" w:rsidRPr="00000000" w14:paraId="00000004">
      <w:pPr>
        <w:spacing w:line="276" w:lineRule="auto"/>
        <w:jc w:val="both"/>
        <w:rPr/>
      </w:pPr>
      <w:r w:rsidDel="00000000" w:rsidR="00000000" w:rsidRPr="00000000">
        <w:rPr>
          <w:rtl w:val="0"/>
        </w:rPr>
      </w:r>
    </w:p>
    <w:tbl>
      <w:tblPr>
        <w:tblStyle w:val="Table1"/>
        <w:tblW w:w="105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0"/>
        <w:gridCol w:w="8625"/>
        <w:tblGridChange w:id="0">
          <w:tblGrid>
            <w:gridCol w:w="1920"/>
            <w:gridCol w:w="8625"/>
          </w:tblGrid>
        </w:tblGridChange>
      </w:tblGrid>
      <w:tr>
        <w:trPr>
          <w:cantSplit w:val="0"/>
          <w:tblHeader w:val="0"/>
        </w:trPr>
        <w:tc>
          <w:tcPr>
            <w:shd w:fill="bef2bd" w:val="clear"/>
            <w:tcMar>
              <w:top w:w="100.0" w:type="dxa"/>
              <w:left w:w="100.0" w:type="dxa"/>
              <w:bottom w:w="100.0" w:type="dxa"/>
              <w:right w:w="100.0" w:type="dxa"/>
            </w:tcMar>
            <w:vAlign w:val="top"/>
          </w:tcPr>
          <w:p w:rsidR="00000000" w:rsidDel="00000000" w:rsidP="00000000" w:rsidRDefault="00000000" w:rsidRPr="00000000" w14:paraId="00000005">
            <w:pPr>
              <w:widowControl w:val="0"/>
              <w:rPr>
                <w:rFonts w:ascii="Lexend" w:cs="Lexend" w:eastAsia="Lexend" w:hAnsi="Lexend"/>
                <w:b w:val="1"/>
              </w:rPr>
            </w:pPr>
            <w:r w:rsidDel="00000000" w:rsidR="00000000" w:rsidRPr="00000000">
              <w:rPr>
                <w:rFonts w:ascii="Lexend" w:cs="Lexend" w:eastAsia="Lexend" w:hAnsi="Lexend"/>
                <w:b w:val="1"/>
                <w:rtl w:val="0"/>
              </w:rPr>
              <w:t xml:space="preserve">Consideration</w:t>
            </w:r>
          </w:p>
        </w:tc>
        <w:tc>
          <w:tcPr>
            <w:shd w:fill="bef2bd" w:val="clear"/>
            <w:tcMar>
              <w:top w:w="100.0" w:type="dxa"/>
              <w:left w:w="100.0" w:type="dxa"/>
              <w:bottom w:w="100.0" w:type="dxa"/>
              <w:right w:w="100.0" w:type="dxa"/>
            </w:tcMar>
            <w:vAlign w:val="top"/>
          </w:tcPr>
          <w:p w:rsidR="00000000" w:rsidDel="00000000" w:rsidP="00000000" w:rsidRDefault="00000000" w:rsidRPr="00000000" w14:paraId="00000006">
            <w:pPr>
              <w:widowControl w:val="0"/>
              <w:rPr>
                <w:rFonts w:ascii="Lexend" w:cs="Lexend" w:eastAsia="Lexend" w:hAnsi="Lexend"/>
                <w:b w:val="1"/>
              </w:rPr>
            </w:pPr>
            <w:r w:rsidDel="00000000" w:rsidR="00000000" w:rsidRPr="00000000">
              <w:rPr>
                <w:rFonts w:ascii="Lexend" w:cs="Lexend" w:eastAsia="Lexend" w:hAnsi="Lexend"/>
                <w:b w:val="1"/>
                <w:rtl w:val="0"/>
              </w:rPr>
              <w:t xml:space="preserve">Check</w:t>
            </w:r>
          </w:p>
        </w:tc>
      </w:tr>
      <w:tr>
        <w:trPr>
          <w:cantSplit w:val="0"/>
          <w:tblHeader w:val="0"/>
        </w:trPr>
        <w:tc>
          <w:tcPr>
            <w:shd w:fill="dff9de" w:val="clear"/>
            <w:tcMar>
              <w:top w:w="100.0" w:type="dxa"/>
              <w:left w:w="100.0" w:type="dxa"/>
              <w:bottom w:w="100.0" w:type="dxa"/>
              <w:right w:w="100.0" w:type="dxa"/>
            </w:tcMar>
            <w:vAlign w:val="top"/>
          </w:tcPr>
          <w:p w:rsidR="00000000" w:rsidDel="00000000" w:rsidP="00000000" w:rsidRDefault="00000000" w:rsidRPr="00000000" w14:paraId="00000007">
            <w:pPr>
              <w:rPr/>
            </w:pPr>
            <w:r w:rsidDel="00000000" w:rsidR="00000000" w:rsidRPr="00000000">
              <w:rPr>
                <w:rtl w:val="0"/>
              </w:rPr>
              <w:t xml:space="preserve">Before food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numPr>
                <w:ilvl w:val="0"/>
                <w:numId w:val="6"/>
              </w:numPr>
              <w:ind w:left="720" w:hanging="360"/>
              <w:rPr>
                <w:sz w:val="22"/>
                <w:szCs w:val="22"/>
                <w:u w:val="none"/>
              </w:rPr>
            </w:pPr>
            <w:r w:rsidDel="00000000" w:rsidR="00000000" w:rsidRPr="00000000">
              <w:rPr>
                <w:sz w:val="22"/>
                <w:szCs w:val="22"/>
                <w:rtl w:val="0"/>
              </w:rPr>
              <w:t xml:space="preserve">Check for any food allergy, intolerance or religious/cultural reasons for pupils not handling or eating certain foods.</w:t>
            </w:r>
          </w:p>
        </w:tc>
      </w:tr>
      <w:tr>
        <w:trPr>
          <w:cantSplit w:val="0"/>
          <w:tblHeader w:val="0"/>
        </w:trPr>
        <w:tc>
          <w:tcPr>
            <w:shd w:fill="dff9de" w:val="clear"/>
            <w:tcMar>
              <w:top w:w="100.0" w:type="dxa"/>
              <w:left w:w="100.0" w:type="dxa"/>
              <w:bottom w:w="100.0" w:type="dxa"/>
              <w:right w:w="100.0" w:type="dxa"/>
            </w:tcMar>
            <w:vAlign w:val="top"/>
          </w:tcPr>
          <w:p w:rsidR="00000000" w:rsidDel="00000000" w:rsidP="00000000" w:rsidRDefault="00000000" w:rsidRPr="00000000" w14:paraId="00000009">
            <w:pPr>
              <w:rPr/>
            </w:pPr>
            <w:r w:rsidDel="00000000" w:rsidR="00000000" w:rsidRPr="00000000">
              <w:rPr>
                <w:rtl w:val="0"/>
              </w:rPr>
              <w:t xml:space="preserve">Cooking area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numPr>
                <w:ilvl w:val="0"/>
                <w:numId w:val="5"/>
              </w:numPr>
              <w:ind w:left="720" w:hanging="360"/>
              <w:rPr>
                <w:sz w:val="22"/>
                <w:szCs w:val="22"/>
              </w:rPr>
            </w:pPr>
            <w:r w:rsidDel="00000000" w:rsidR="00000000" w:rsidRPr="00000000">
              <w:rPr>
                <w:sz w:val="22"/>
                <w:szCs w:val="22"/>
                <w:rtl w:val="0"/>
              </w:rPr>
              <w:t xml:space="preserve">Select a space for food work that is clear and uncluttered.</w:t>
            </w:r>
          </w:p>
          <w:p w:rsidR="00000000" w:rsidDel="00000000" w:rsidP="00000000" w:rsidRDefault="00000000" w:rsidRPr="00000000" w14:paraId="0000000B">
            <w:pPr>
              <w:numPr>
                <w:ilvl w:val="0"/>
                <w:numId w:val="5"/>
              </w:numPr>
              <w:ind w:left="720" w:hanging="360"/>
              <w:rPr>
                <w:sz w:val="22"/>
                <w:szCs w:val="22"/>
              </w:rPr>
            </w:pPr>
            <w:r w:rsidDel="00000000" w:rsidR="00000000" w:rsidRPr="00000000">
              <w:rPr>
                <w:sz w:val="22"/>
                <w:szCs w:val="22"/>
                <w:rtl w:val="0"/>
              </w:rPr>
              <w:t xml:space="preserve">If working in a designated food area, clean the surfaces to remove any dirt and then wipe them with anti-bacterial spray. </w:t>
            </w:r>
          </w:p>
          <w:p w:rsidR="00000000" w:rsidDel="00000000" w:rsidP="00000000" w:rsidRDefault="00000000" w:rsidRPr="00000000" w14:paraId="0000000C">
            <w:pPr>
              <w:numPr>
                <w:ilvl w:val="0"/>
                <w:numId w:val="5"/>
              </w:numPr>
              <w:ind w:left="720" w:hanging="360"/>
              <w:rPr>
                <w:sz w:val="22"/>
                <w:szCs w:val="22"/>
              </w:rPr>
            </w:pPr>
            <w:r w:rsidDel="00000000" w:rsidR="00000000" w:rsidRPr="00000000">
              <w:rPr>
                <w:sz w:val="22"/>
                <w:szCs w:val="22"/>
                <w:rtl w:val="0"/>
              </w:rPr>
              <w:t xml:space="preserve">If preparing food in a classroom or school hall, cover the tables with clean, plastic table cloths and then wipe them with anti-bacterial spray.</w:t>
            </w:r>
          </w:p>
          <w:p w:rsidR="00000000" w:rsidDel="00000000" w:rsidP="00000000" w:rsidRDefault="00000000" w:rsidRPr="00000000" w14:paraId="0000000D">
            <w:pPr>
              <w:numPr>
                <w:ilvl w:val="0"/>
                <w:numId w:val="5"/>
              </w:numPr>
              <w:ind w:left="720" w:hanging="360"/>
              <w:rPr>
                <w:sz w:val="22"/>
                <w:szCs w:val="22"/>
              </w:rPr>
            </w:pPr>
            <w:r w:rsidDel="00000000" w:rsidR="00000000" w:rsidRPr="00000000">
              <w:rPr>
                <w:sz w:val="22"/>
                <w:szCs w:val="22"/>
                <w:rtl w:val="0"/>
              </w:rPr>
              <w:t xml:space="preserve">Make sure there is a sink where you and the children can wash your hands.</w:t>
            </w:r>
          </w:p>
          <w:p w:rsidR="00000000" w:rsidDel="00000000" w:rsidP="00000000" w:rsidRDefault="00000000" w:rsidRPr="00000000" w14:paraId="0000000E">
            <w:pPr>
              <w:numPr>
                <w:ilvl w:val="0"/>
                <w:numId w:val="5"/>
              </w:numPr>
              <w:ind w:left="720" w:hanging="360"/>
              <w:rPr>
                <w:sz w:val="22"/>
                <w:szCs w:val="22"/>
              </w:rPr>
            </w:pPr>
            <w:r w:rsidDel="00000000" w:rsidR="00000000" w:rsidRPr="00000000">
              <w:rPr>
                <w:sz w:val="22"/>
                <w:szCs w:val="22"/>
                <w:rtl w:val="0"/>
              </w:rPr>
              <w:t xml:space="preserve">Ensure that a waste bin and/or compost bin is available so children can dispose of waste and keep their work areas orderly.</w:t>
            </w:r>
          </w:p>
        </w:tc>
      </w:tr>
      <w:tr>
        <w:trPr>
          <w:cantSplit w:val="0"/>
          <w:tblHeader w:val="0"/>
        </w:trPr>
        <w:tc>
          <w:tcPr>
            <w:shd w:fill="dff9de" w:val="clear"/>
            <w:tcMar>
              <w:top w:w="100.0" w:type="dxa"/>
              <w:left w:w="100.0" w:type="dxa"/>
              <w:bottom w:w="100.0" w:type="dxa"/>
              <w:right w:w="100.0" w:type="dxa"/>
            </w:tcMar>
            <w:vAlign w:val="top"/>
          </w:tcPr>
          <w:p w:rsidR="00000000" w:rsidDel="00000000" w:rsidP="00000000" w:rsidRDefault="00000000" w:rsidRPr="00000000" w14:paraId="0000000F">
            <w:pPr>
              <w:rPr/>
            </w:pPr>
            <w:r w:rsidDel="00000000" w:rsidR="00000000" w:rsidRPr="00000000">
              <w:rPr>
                <w:rtl w:val="0"/>
              </w:rPr>
              <w:t xml:space="preserve">Ingredients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numPr>
                <w:ilvl w:val="0"/>
                <w:numId w:val="3"/>
              </w:numPr>
              <w:ind w:left="720" w:hanging="360"/>
              <w:rPr>
                <w:sz w:val="22"/>
                <w:szCs w:val="22"/>
              </w:rPr>
            </w:pPr>
            <w:r w:rsidDel="00000000" w:rsidR="00000000" w:rsidRPr="00000000">
              <w:rPr>
                <w:sz w:val="22"/>
                <w:szCs w:val="22"/>
                <w:rtl w:val="0"/>
              </w:rPr>
              <w:t xml:space="preserve">Check the recipe for what ingredients are needed.</w:t>
            </w:r>
          </w:p>
          <w:p w:rsidR="00000000" w:rsidDel="00000000" w:rsidP="00000000" w:rsidRDefault="00000000" w:rsidRPr="00000000" w14:paraId="00000011">
            <w:pPr>
              <w:numPr>
                <w:ilvl w:val="1"/>
                <w:numId w:val="3"/>
              </w:numPr>
              <w:ind w:left="1440" w:hanging="360"/>
              <w:rPr>
                <w:sz w:val="22"/>
                <w:szCs w:val="22"/>
              </w:rPr>
            </w:pPr>
            <w:r w:rsidDel="00000000" w:rsidR="00000000" w:rsidRPr="00000000">
              <w:rPr>
                <w:sz w:val="22"/>
                <w:szCs w:val="22"/>
                <w:rtl w:val="0"/>
              </w:rPr>
              <w:t xml:space="preserve">Who will buy the ingredients? </w:t>
            </w:r>
          </w:p>
          <w:p w:rsidR="00000000" w:rsidDel="00000000" w:rsidP="00000000" w:rsidRDefault="00000000" w:rsidRPr="00000000" w14:paraId="00000012">
            <w:pPr>
              <w:numPr>
                <w:ilvl w:val="1"/>
                <w:numId w:val="3"/>
              </w:numPr>
              <w:ind w:left="1440" w:hanging="360"/>
              <w:rPr>
                <w:sz w:val="22"/>
                <w:szCs w:val="22"/>
              </w:rPr>
            </w:pPr>
            <w:r w:rsidDel="00000000" w:rsidR="00000000" w:rsidRPr="00000000">
              <w:rPr>
                <w:sz w:val="22"/>
                <w:szCs w:val="22"/>
                <w:rtl w:val="0"/>
              </w:rPr>
              <w:t xml:space="preserve">Where can they be stored safely? </w:t>
            </w:r>
          </w:p>
          <w:p w:rsidR="00000000" w:rsidDel="00000000" w:rsidP="00000000" w:rsidRDefault="00000000" w:rsidRPr="00000000" w14:paraId="00000013">
            <w:pPr>
              <w:numPr>
                <w:ilvl w:val="0"/>
                <w:numId w:val="3"/>
              </w:numPr>
              <w:ind w:left="720" w:hanging="360"/>
              <w:rPr>
                <w:sz w:val="22"/>
                <w:szCs w:val="22"/>
              </w:rPr>
            </w:pPr>
            <w:r w:rsidDel="00000000" w:rsidR="00000000" w:rsidRPr="00000000">
              <w:rPr>
                <w:sz w:val="22"/>
                <w:szCs w:val="22"/>
                <w:rtl w:val="0"/>
              </w:rPr>
              <w:t xml:space="preserve">Check the ‘use by’ and ‘best before’ date marks to make sure the food will be safe to use in the session.</w:t>
            </w:r>
          </w:p>
          <w:p w:rsidR="00000000" w:rsidDel="00000000" w:rsidP="00000000" w:rsidRDefault="00000000" w:rsidRPr="00000000" w14:paraId="00000014">
            <w:pPr>
              <w:numPr>
                <w:ilvl w:val="0"/>
                <w:numId w:val="3"/>
              </w:numPr>
              <w:ind w:left="720" w:hanging="360"/>
              <w:rPr>
                <w:sz w:val="22"/>
                <w:szCs w:val="22"/>
              </w:rPr>
            </w:pPr>
            <w:r w:rsidDel="00000000" w:rsidR="00000000" w:rsidRPr="00000000">
              <w:rPr>
                <w:sz w:val="22"/>
                <w:szCs w:val="22"/>
                <w:rtl w:val="0"/>
              </w:rPr>
              <w:t xml:space="preserve">Wash fresh fruit and vegetables before the session, unless this is a teaching point and you want the children to do this.</w:t>
            </w:r>
          </w:p>
          <w:p w:rsidR="00000000" w:rsidDel="00000000" w:rsidP="00000000" w:rsidRDefault="00000000" w:rsidRPr="00000000" w14:paraId="00000015">
            <w:pPr>
              <w:numPr>
                <w:ilvl w:val="0"/>
                <w:numId w:val="3"/>
              </w:numPr>
              <w:ind w:left="720" w:hanging="360"/>
              <w:rPr>
                <w:sz w:val="22"/>
                <w:szCs w:val="22"/>
              </w:rPr>
            </w:pPr>
            <w:r w:rsidDel="00000000" w:rsidR="00000000" w:rsidRPr="00000000">
              <w:rPr>
                <w:sz w:val="22"/>
                <w:szCs w:val="22"/>
                <w:rtl w:val="0"/>
              </w:rPr>
              <w:t xml:space="preserve">If you are pre-cooking any food before a session, plan to do this on the same day the food will be prepared and eaten. Ensure pre-cooked food is stored correctly.  </w:t>
            </w:r>
          </w:p>
          <w:p w:rsidR="00000000" w:rsidDel="00000000" w:rsidP="00000000" w:rsidRDefault="00000000" w:rsidRPr="00000000" w14:paraId="00000016">
            <w:pPr>
              <w:numPr>
                <w:ilvl w:val="0"/>
                <w:numId w:val="3"/>
              </w:numPr>
              <w:ind w:left="720" w:hanging="360"/>
              <w:rPr>
                <w:sz w:val="22"/>
                <w:szCs w:val="22"/>
              </w:rPr>
            </w:pPr>
            <w:r w:rsidDel="00000000" w:rsidR="00000000" w:rsidRPr="00000000">
              <w:rPr>
                <w:sz w:val="22"/>
                <w:szCs w:val="22"/>
                <w:rtl w:val="0"/>
              </w:rPr>
              <w:t xml:space="preserve">If you have any children with intolerances or allergies to a particular food, remember to check all food packaging to ensure that any food to be used does not contain these ingredients. For further information on ensuring lessons are allergy safe, see </w:t>
            </w:r>
            <w:hyperlink r:id="rId6">
              <w:r w:rsidDel="00000000" w:rsidR="00000000" w:rsidRPr="00000000">
                <w:rPr>
                  <w:color w:val="1155cc"/>
                  <w:sz w:val="22"/>
                  <w:szCs w:val="22"/>
                  <w:u w:val="single"/>
                  <w:rtl w:val="0"/>
                </w:rPr>
                <w:t xml:space="preserve">this blog</w:t>
              </w:r>
            </w:hyperlink>
            <w:r w:rsidDel="00000000" w:rsidR="00000000" w:rsidRPr="00000000">
              <w:rPr>
                <w:sz w:val="22"/>
                <w:szCs w:val="22"/>
                <w:rtl w:val="0"/>
              </w:rPr>
              <w:t xml:space="preserve">. </w:t>
            </w:r>
          </w:p>
          <w:p w:rsidR="00000000" w:rsidDel="00000000" w:rsidP="00000000" w:rsidRDefault="00000000" w:rsidRPr="00000000" w14:paraId="00000017">
            <w:pPr>
              <w:numPr>
                <w:ilvl w:val="0"/>
                <w:numId w:val="3"/>
              </w:numPr>
              <w:ind w:left="720" w:hanging="360"/>
              <w:rPr>
                <w:sz w:val="22"/>
                <w:szCs w:val="22"/>
              </w:rPr>
            </w:pPr>
            <w:r w:rsidDel="00000000" w:rsidR="00000000" w:rsidRPr="00000000">
              <w:rPr>
                <w:sz w:val="22"/>
                <w:szCs w:val="22"/>
                <w:rtl w:val="0"/>
              </w:rPr>
              <w:t xml:space="preserve">Some food may need to be partly prepared or measured out before the session.  This might be because time is tight, it is not appropriate for the ability/age of the children, or not part of the planned learning, e.g. cutting up a whole melon, weighing flour. Plan how and when this ingredient preparation will be done, and where this food will be stored.</w:t>
            </w:r>
          </w:p>
          <w:p w:rsidR="00000000" w:rsidDel="00000000" w:rsidP="00000000" w:rsidRDefault="00000000" w:rsidRPr="00000000" w14:paraId="00000018">
            <w:pPr>
              <w:numPr>
                <w:ilvl w:val="0"/>
                <w:numId w:val="3"/>
              </w:numPr>
              <w:ind w:left="720" w:hanging="360"/>
              <w:rPr>
                <w:sz w:val="22"/>
                <w:szCs w:val="22"/>
              </w:rPr>
            </w:pPr>
            <w:r w:rsidDel="00000000" w:rsidR="00000000" w:rsidRPr="00000000">
              <w:rPr>
                <w:sz w:val="22"/>
                <w:szCs w:val="22"/>
                <w:rtl w:val="0"/>
              </w:rPr>
              <w:t xml:space="preserve">Just before the session, ensure all the ingredients needed for demonstrating are prepared and place them on a tray.</w:t>
            </w:r>
          </w:p>
        </w:tc>
      </w:tr>
      <w:tr>
        <w:trPr>
          <w:cantSplit w:val="0"/>
          <w:tblHeader w:val="0"/>
        </w:trPr>
        <w:tc>
          <w:tcPr>
            <w:shd w:fill="dff9de" w:val="clear"/>
            <w:tcMar>
              <w:top w:w="100.0" w:type="dxa"/>
              <w:left w:w="100.0" w:type="dxa"/>
              <w:bottom w:w="100.0" w:type="dxa"/>
              <w:right w:w="100.0" w:type="dxa"/>
            </w:tcMar>
            <w:vAlign w:val="top"/>
          </w:tcPr>
          <w:p w:rsidR="00000000" w:rsidDel="00000000" w:rsidP="00000000" w:rsidRDefault="00000000" w:rsidRPr="00000000" w14:paraId="00000019">
            <w:pPr>
              <w:rPr/>
            </w:pPr>
            <w:r w:rsidDel="00000000" w:rsidR="00000000" w:rsidRPr="00000000">
              <w:rPr>
                <w:rtl w:val="0"/>
              </w:rPr>
              <w:t xml:space="preserve">Equipment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numPr>
                <w:ilvl w:val="0"/>
                <w:numId w:val="2"/>
              </w:numPr>
              <w:ind w:left="720" w:hanging="360"/>
              <w:rPr>
                <w:sz w:val="22"/>
                <w:szCs w:val="22"/>
              </w:rPr>
            </w:pPr>
            <w:r w:rsidDel="00000000" w:rsidR="00000000" w:rsidRPr="00000000">
              <w:rPr>
                <w:sz w:val="22"/>
                <w:szCs w:val="22"/>
                <w:rtl w:val="0"/>
              </w:rPr>
              <w:t xml:space="preserve">Make sure all the equipment to be used is clean and in good working order. </w:t>
            </w:r>
          </w:p>
          <w:p w:rsidR="00000000" w:rsidDel="00000000" w:rsidP="00000000" w:rsidRDefault="00000000" w:rsidRPr="00000000" w14:paraId="0000001B">
            <w:pPr>
              <w:numPr>
                <w:ilvl w:val="0"/>
                <w:numId w:val="2"/>
              </w:numPr>
              <w:ind w:left="720" w:hanging="360"/>
              <w:rPr>
                <w:sz w:val="22"/>
                <w:szCs w:val="22"/>
              </w:rPr>
            </w:pPr>
            <w:r w:rsidDel="00000000" w:rsidR="00000000" w:rsidRPr="00000000">
              <w:rPr>
                <w:sz w:val="22"/>
                <w:szCs w:val="22"/>
                <w:rtl w:val="0"/>
              </w:rPr>
              <w:t xml:space="preserve">Children’s hands are smaller than adults – so check that equipment is an appropriate size.</w:t>
            </w:r>
          </w:p>
          <w:p w:rsidR="00000000" w:rsidDel="00000000" w:rsidP="00000000" w:rsidRDefault="00000000" w:rsidRPr="00000000" w14:paraId="0000001C">
            <w:pPr>
              <w:numPr>
                <w:ilvl w:val="0"/>
                <w:numId w:val="2"/>
              </w:numPr>
              <w:ind w:left="720" w:hanging="360"/>
              <w:rPr>
                <w:sz w:val="22"/>
                <w:szCs w:val="22"/>
              </w:rPr>
            </w:pPr>
            <w:r w:rsidDel="00000000" w:rsidR="00000000" w:rsidRPr="00000000">
              <w:rPr>
                <w:sz w:val="22"/>
                <w:szCs w:val="22"/>
                <w:rtl w:val="0"/>
              </w:rPr>
              <w:t xml:space="preserve">Use transparent containers when demonstrating so children can see what is happening.</w:t>
            </w:r>
          </w:p>
          <w:p w:rsidR="00000000" w:rsidDel="00000000" w:rsidP="00000000" w:rsidRDefault="00000000" w:rsidRPr="00000000" w14:paraId="0000001D">
            <w:pPr>
              <w:numPr>
                <w:ilvl w:val="0"/>
                <w:numId w:val="2"/>
              </w:numPr>
              <w:ind w:left="720" w:hanging="360"/>
              <w:rPr>
                <w:sz w:val="22"/>
                <w:szCs w:val="22"/>
              </w:rPr>
            </w:pPr>
            <w:r w:rsidDel="00000000" w:rsidR="00000000" w:rsidRPr="00000000">
              <w:rPr>
                <w:sz w:val="22"/>
                <w:szCs w:val="22"/>
                <w:rtl w:val="0"/>
              </w:rPr>
              <w:t xml:space="preserve">Avoid giving children glass bowls and measuring jugs to use just in case they are broken.</w:t>
            </w:r>
          </w:p>
          <w:p w:rsidR="00000000" w:rsidDel="00000000" w:rsidP="00000000" w:rsidRDefault="00000000" w:rsidRPr="00000000" w14:paraId="0000001E">
            <w:pPr>
              <w:numPr>
                <w:ilvl w:val="0"/>
                <w:numId w:val="2"/>
              </w:numPr>
              <w:spacing w:line="276" w:lineRule="auto"/>
              <w:ind w:left="720" w:hanging="360"/>
              <w:jc w:val="both"/>
              <w:rPr>
                <w:sz w:val="22"/>
                <w:szCs w:val="22"/>
              </w:rPr>
            </w:pPr>
            <w:r w:rsidDel="00000000" w:rsidR="00000000" w:rsidRPr="00000000">
              <w:rPr>
                <w:color w:val="1d1c1d"/>
                <w:sz w:val="22"/>
                <w:szCs w:val="22"/>
                <w:rtl w:val="0"/>
              </w:rPr>
              <w:t xml:space="preserve">Ensure that you have separate equipment for children with allergies. These should be thoroughly cleaned before and after use and stored separately.</w:t>
            </w:r>
            <w:r w:rsidDel="00000000" w:rsidR="00000000" w:rsidRPr="00000000">
              <w:rPr>
                <w:rtl w:val="0"/>
              </w:rPr>
            </w:r>
          </w:p>
        </w:tc>
      </w:tr>
      <w:tr>
        <w:trPr>
          <w:cantSplit w:val="0"/>
          <w:tblHeader w:val="0"/>
        </w:trPr>
        <w:tc>
          <w:tcPr>
            <w:shd w:fill="dff9de" w:val="clear"/>
            <w:tcMar>
              <w:top w:w="100.0" w:type="dxa"/>
              <w:left w:w="100.0" w:type="dxa"/>
              <w:bottom w:w="100.0" w:type="dxa"/>
              <w:right w:w="100.0" w:type="dxa"/>
            </w:tcMar>
            <w:vAlign w:val="top"/>
          </w:tcPr>
          <w:p w:rsidR="00000000" w:rsidDel="00000000" w:rsidP="00000000" w:rsidRDefault="00000000" w:rsidRPr="00000000" w14:paraId="0000001F">
            <w:pPr>
              <w:rPr/>
            </w:pPr>
            <w:r w:rsidDel="00000000" w:rsidR="00000000" w:rsidRPr="00000000">
              <w:rPr>
                <w:rtl w:val="0"/>
              </w:rPr>
              <w:t xml:space="preserve">Demonstrating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numPr>
                <w:ilvl w:val="0"/>
                <w:numId w:val="1"/>
              </w:numPr>
              <w:ind w:left="720" w:hanging="360"/>
              <w:rPr>
                <w:sz w:val="22"/>
                <w:szCs w:val="22"/>
              </w:rPr>
            </w:pPr>
            <w:r w:rsidDel="00000000" w:rsidR="00000000" w:rsidRPr="00000000">
              <w:rPr>
                <w:sz w:val="22"/>
                <w:szCs w:val="22"/>
                <w:rtl w:val="0"/>
              </w:rPr>
              <w:t xml:space="preserve">Ensure that children understand why you are demonstrating. Recap the learning, e.g. how to use a grater safely.</w:t>
            </w:r>
          </w:p>
          <w:p w:rsidR="00000000" w:rsidDel="00000000" w:rsidP="00000000" w:rsidRDefault="00000000" w:rsidRPr="00000000" w14:paraId="00000021">
            <w:pPr>
              <w:numPr>
                <w:ilvl w:val="0"/>
                <w:numId w:val="1"/>
              </w:numPr>
              <w:ind w:left="720" w:hanging="360"/>
              <w:rPr>
                <w:sz w:val="22"/>
                <w:szCs w:val="22"/>
              </w:rPr>
            </w:pPr>
            <w:r w:rsidDel="00000000" w:rsidR="00000000" w:rsidRPr="00000000">
              <w:rPr>
                <w:sz w:val="22"/>
                <w:szCs w:val="22"/>
                <w:rtl w:val="0"/>
              </w:rPr>
              <w:t xml:space="preserve">If you are showing a knife technique, ensure that all the children can see what you are doing – it might mean that you need to move your hands out of the way.</w:t>
            </w:r>
          </w:p>
          <w:p w:rsidR="00000000" w:rsidDel="00000000" w:rsidP="00000000" w:rsidRDefault="00000000" w:rsidRPr="00000000" w14:paraId="00000022">
            <w:pPr>
              <w:numPr>
                <w:ilvl w:val="0"/>
                <w:numId w:val="1"/>
              </w:numPr>
              <w:ind w:left="720" w:hanging="360"/>
              <w:rPr>
                <w:sz w:val="22"/>
                <w:szCs w:val="22"/>
              </w:rPr>
            </w:pPr>
            <w:r w:rsidDel="00000000" w:rsidR="00000000" w:rsidRPr="00000000">
              <w:rPr>
                <w:sz w:val="22"/>
                <w:szCs w:val="22"/>
                <w:rtl w:val="0"/>
              </w:rPr>
              <w:t xml:space="preserve">Ask children questions about what is happening, e.g. Can you name the ingredients or equipment? What do I need to do to get ready to cook?</w:t>
            </w:r>
          </w:p>
          <w:p w:rsidR="00000000" w:rsidDel="00000000" w:rsidP="00000000" w:rsidRDefault="00000000" w:rsidRPr="00000000" w14:paraId="00000023">
            <w:pPr>
              <w:numPr>
                <w:ilvl w:val="0"/>
                <w:numId w:val="1"/>
              </w:numPr>
              <w:ind w:left="720" w:hanging="360"/>
              <w:rPr>
                <w:sz w:val="22"/>
                <w:szCs w:val="22"/>
              </w:rPr>
            </w:pPr>
            <w:r w:rsidDel="00000000" w:rsidR="00000000" w:rsidRPr="00000000">
              <w:rPr>
                <w:sz w:val="22"/>
                <w:szCs w:val="22"/>
                <w:rtl w:val="0"/>
              </w:rPr>
              <w:t xml:space="preserve">Involve children in the demonstration, for example they could help weigh or prepare ingredients, e.g. weigh 100g flour or quarter tomatoes.</w:t>
            </w:r>
          </w:p>
        </w:tc>
      </w:tr>
      <w:tr>
        <w:trPr>
          <w:cantSplit w:val="0"/>
          <w:tblHeader w:val="0"/>
        </w:trPr>
        <w:tc>
          <w:tcPr>
            <w:shd w:fill="dff9de" w:val="clear"/>
            <w:tcMar>
              <w:top w:w="100.0" w:type="dxa"/>
              <w:left w:w="100.0" w:type="dxa"/>
              <w:bottom w:w="100.0" w:type="dxa"/>
              <w:right w:w="100.0" w:type="dxa"/>
            </w:tcMar>
            <w:vAlign w:val="top"/>
          </w:tcPr>
          <w:p w:rsidR="00000000" w:rsidDel="00000000" w:rsidP="00000000" w:rsidRDefault="00000000" w:rsidRPr="00000000" w14:paraId="00000024">
            <w:pPr>
              <w:rPr/>
            </w:pPr>
            <w:r w:rsidDel="00000000" w:rsidR="00000000" w:rsidRPr="00000000">
              <w:rPr>
                <w:rtl w:val="0"/>
              </w:rPr>
              <w:t xml:space="preserve">Children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numPr>
                <w:ilvl w:val="0"/>
                <w:numId w:val="4"/>
              </w:numPr>
              <w:ind w:left="720" w:hanging="360"/>
              <w:rPr>
                <w:sz w:val="22"/>
                <w:szCs w:val="22"/>
              </w:rPr>
            </w:pPr>
            <w:r w:rsidDel="00000000" w:rsidR="00000000" w:rsidRPr="00000000">
              <w:rPr>
                <w:sz w:val="22"/>
                <w:szCs w:val="22"/>
                <w:rtl w:val="0"/>
              </w:rPr>
              <w:t xml:space="preserve">Before the children undertake any food work, ensure they are ready to cook. </w:t>
            </w:r>
          </w:p>
          <w:p w:rsidR="00000000" w:rsidDel="00000000" w:rsidP="00000000" w:rsidRDefault="00000000" w:rsidRPr="00000000" w14:paraId="00000026">
            <w:pPr>
              <w:numPr>
                <w:ilvl w:val="0"/>
                <w:numId w:val="4"/>
              </w:numPr>
              <w:ind w:left="720" w:hanging="360"/>
              <w:rPr>
                <w:sz w:val="22"/>
                <w:szCs w:val="22"/>
              </w:rPr>
            </w:pPr>
            <w:r w:rsidDel="00000000" w:rsidR="00000000" w:rsidRPr="00000000">
              <w:rPr>
                <w:sz w:val="22"/>
                <w:szCs w:val="22"/>
                <w:rtl w:val="0"/>
              </w:rPr>
              <w:t xml:space="preserve">Check the children know that:</w:t>
            </w:r>
          </w:p>
          <w:p w:rsidR="00000000" w:rsidDel="00000000" w:rsidP="00000000" w:rsidRDefault="00000000" w:rsidRPr="00000000" w14:paraId="00000027">
            <w:pPr>
              <w:numPr>
                <w:ilvl w:val="1"/>
                <w:numId w:val="4"/>
              </w:numPr>
              <w:ind w:left="1440" w:hanging="360"/>
              <w:rPr>
                <w:sz w:val="22"/>
                <w:szCs w:val="22"/>
              </w:rPr>
            </w:pPr>
            <w:r w:rsidDel="00000000" w:rsidR="00000000" w:rsidRPr="00000000">
              <w:rPr>
                <w:sz w:val="22"/>
                <w:szCs w:val="22"/>
                <w:rtl w:val="0"/>
              </w:rPr>
              <w:t xml:space="preserve">they must wash and dry their hands again if they blow their nose, cough or sneeze into their hands, touch hair, cuts or spots;</w:t>
            </w:r>
          </w:p>
          <w:p w:rsidR="00000000" w:rsidDel="00000000" w:rsidP="00000000" w:rsidRDefault="00000000" w:rsidRPr="00000000" w14:paraId="00000028">
            <w:pPr>
              <w:numPr>
                <w:ilvl w:val="1"/>
                <w:numId w:val="4"/>
              </w:numPr>
              <w:ind w:left="1440" w:hanging="360"/>
              <w:rPr>
                <w:sz w:val="22"/>
                <w:szCs w:val="22"/>
              </w:rPr>
            </w:pPr>
            <w:r w:rsidDel="00000000" w:rsidR="00000000" w:rsidRPr="00000000">
              <w:rPr>
                <w:sz w:val="22"/>
                <w:szCs w:val="22"/>
                <w:rtl w:val="0"/>
              </w:rPr>
              <w:t xml:space="preserve">they must remove their apron if they go to the toilet and wash their hands afterwards in the toilet sink, and also re-wash their hands in the classroom sink before they go back to their cooking;</w:t>
            </w:r>
          </w:p>
          <w:p w:rsidR="00000000" w:rsidDel="00000000" w:rsidP="00000000" w:rsidRDefault="00000000" w:rsidRPr="00000000" w14:paraId="00000029">
            <w:pPr>
              <w:numPr>
                <w:ilvl w:val="1"/>
                <w:numId w:val="4"/>
              </w:numPr>
              <w:ind w:left="1440" w:hanging="360"/>
              <w:rPr>
                <w:sz w:val="22"/>
                <w:szCs w:val="22"/>
              </w:rPr>
            </w:pPr>
            <w:r w:rsidDel="00000000" w:rsidR="00000000" w:rsidRPr="00000000">
              <w:rPr>
                <w:sz w:val="22"/>
                <w:szCs w:val="22"/>
                <w:rtl w:val="0"/>
              </w:rPr>
              <w:t xml:space="preserve">how to use the equipment safely.</w:t>
            </w:r>
          </w:p>
          <w:p w:rsidR="00000000" w:rsidDel="00000000" w:rsidP="00000000" w:rsidRDefault="00000000" w:rsidRPr="00000000" w14:paraId="0000002A">
            <w:pPr>
              <w:numPr>
                <w:ilvl w:val="0"/>
                <w:numId w:val="4"/>
              </w:numPr>
              <w:ind w:left="720" w:hanging="360"/>
              <w:rPr>
                <w:sz w:val="22"/>
                <w:szCs w:val="22"/>
              </w:rPr>
            </w:pPr>
            <w:r w:rsidDel="00000000" w:rsidR="00000000" w:rsidRPr="00000000">
              <w:rPr>
                <w:sz w:val="22"/>
                <w:szCs w:val="22"/>
                <w:rtl w:val="0"/>
              </w:rPr>
              <w:t xml:space="preserve">Ensure children are clear about the expectations for the lesson, e.g. how they get their ingredients and equipment, behave when cooking, clearing away.</w:t>
            </w:r>
          </w:p>
        </w:tc>
      </w:tr>
    </w:tbl>
    <w:p w:rsidR="00000000" w:rsidDel="00000000" w:rsidP="00000000" w:rsidRDefault="00000000" w:rsidRPr="00000000" w14:paraId="0000002B">
      <w:pPr>
        <w:spacing w:line="276" w:lineRule="auto"/>
        <w:jc w:val="both"/>
        <w:rPr>
          <w:color w:val="000000"/>
        </w:rPr>
      </w:pPr>
      <w:r w:rsidDel="00000000" w:rsidR="00000000" w:rsidRPr="00000000">
        <w:rPr>
          <w:rtl w:val="0"/>
        </w:rPr>
      </w:r>
    </w:p>
    <w:p w:rsidR="00000000" w:rsidDel="00000000" w:rsidP="00000000" w:rsidRDefault="00000000" w:rsidRPr="00000000" w14:paraId="0000002C">
      <w:pPr>
        <w:rPr>
          <w:rFonts w:ascii="Lexend" w:cs="Lexend" w:eastAsia="Lexend" w:hAnsi="Lexend"/>
          <w:b w:val="1"/>
        </w:rPr>
      </w:pPr>
      <w:r w:rsidDel="00000000" w:rsidR="00000000" w:rsidRPr="00000000">
        <w:rPr>
          <w:rtl w:val="0"/>
        </w:rPr>
      </w:r>
    </w:p>
    <w:p w:rsidR="00000000" w:rsidDel="00000000" w:rsidP="00000000" w:rsidRDefault="00000000" w:rsidRPr="00000000" w14:paraId="0000002D">
      <w:pPr>
        <w:rPr>
          <w:rFonts w:ascii="Lexend" w:cs="Lexend" w:eastAsia="Lexend" w:hAnsi="Lexend"/>
          <w:b w:val="1"/>
        </w:rPr>
      </w:pPr>
      <w:r w:rsidDel="00000000" w:rsidR="00000000" w:rsidRPr="00000000">
        <w:rPr>
          <w:rFonts w:ascii="Lexend" w:cs="Lexend" w:eastAsia="Lexend" w:hAnsi="Lexend"/>
          <w:b w:val="1"/>
          <w:rtl w:val="0"/>
        </w:rPr>
        <w:t xml:space="preserve">thenational.academy</w:t>
      </w:r>
    </w:p>
    <w:p w:rsidR="00000000" w:rsidDel="00000000" w:rsidP="00000000" w:rsidRDefault="00000000" w:rsidRPr="00000000" w14:paraId="0000002E">
      <w:pPr>
        <w:rPr/>
      </w:pPr>
      <w:hyperlink r:id="rId7">
        <w:r w:rsidDel="00000000" w:rsidR="00000000" w:rsidRPr="00000000">
          <w:rPr>
            <w:color w:val="1155cc"/>
            <w:u w:val="single"/>
            <w:rtl w:val="0"/>
          </w:rPr>
          <w:t xml:space="preserve">Read our blog to find out more about our cooking and nutrition resources</w:t>
        </w:r>
      </w:hyperlink>
      <w:r w:rsidDel="00000000" w:rsidR="00000000" w:rsidRPr="00000000">
        <w:rPr>
          <w:rtl w:val="0"/>
        </w:rPr>
        <w:t xml:space="preserve">.</w:t>
      </w:r>
      <w:r w:rsidDel="00000000" w:rsidR="00000000" w:rsidRPr="00000000">
        <w:drawing>
          <wp:anchor allowOverlap="1" behindDoc="1" distB="114300" distT="114300" distL="114300" distR="114300" hidden="0" layoutInCell="1" locked="0" relativeHeight="0" simplePos="0">
            <wp:simplePos x="0" y="0"/>
            <wp:positionH relativeFrom="column">
              <wp:posOffset>3835725</wp:posOffset>
            </wp:positionH>
            <wp:positionV relativeFrom="paragraph">
              <wp:posOffset>714375</wp:posOffset>
            </wp:positionV>
            <wp:extent cx="2805113" cy="2264281"/>
            <wp:effectExtent b="0" l="0" r="0" t="0"/>
            <wp:wrapNone/>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805113" cy="2264281"/>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2717238</wp:posOffset>
            </wp:positionV>
            <wp:extent cx="177269" cy="244800"/>
            <wp:effectExtent b="0" l="0" r="0" t="0"/>
            <wp:wrapNone/>
            <wp:docPr id="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77269" cy="244800"/>
                    </a:xfrm>
                    <a:prstGeom prst="rect"/>
                    <a:ln/>
                  </pic:spPr>
                </pic:pic>
              </a:graphicData>
            </a:graphic>
          </wp:anchor>
        </w:drawing>
      </w:r>
    </w:p>
    <w:sectPr>
      <w:headerReference r:id="rId10" w:type="default"/>
      <w:headerReference r:id="rId11" w:type="first"/>
      <w:footerReference r:id="rId12" w:type="default"/>
      <w:pgSz w:h="16838" w:w="11906" w:orient="portrait"/>
      <w:pgMar w:bottom="1700.7874015748032" w:top="720.0000000000001" w:left="720.0000000000001" w:right="720.0000000000001" w:header="850.3937007874016" w:footer="850.393700787401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Lexend SemiBold">
    <w:embedRegular w:fontKey="{00000000-0000-0000-0000-000000000000}" r:id="rId1" w:subsetted="0"/>
    <w:embedBold w:fontKey="{00000000-0000-0000-0000-000000000000}" r:id="rId2" w:subsetted="0"/>
  </w:font>
  <w:font w:name="Lexend Light">
    <w:embedRegular w:fontKey="{00000000-0000-0000-0000-000000000000}" r:id="rId3" w:subsetted="0"/>
    <w:embedBold w:fontKey="{00000000-0000-0000-0000-000000000000}" r:id="rId4" w:subsetted="0"/>
  </w:font>
  <w:font w:name="Lexend Medium">
    <w:embedRegular w:fontKey="{00000000-0000-0000-0000-000000000000}" r:id="rId5" w:subsetted="0"/>
    <w:embedBold w:fontKey="{00000000-0000-0000-0000-000000000000}" r:id="rId6" w:subsetted="0"/>
  </w:font>
  <w:font w:name="Lexend">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widowControl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widowControl w:val="0"/>
      <w:rPr/>
    </w:pPr>
    <w:r w:rsidDel="00000000" w:rsidR="00000000" w:rsidRPr="00000000">
      <w:rPr>
        <w:color w:val="000000"/>
      </w:rPr>
      <w:drawing>
        <wp:inline distB="114300" distT="114300" distL="114300" distR="114300">
          <wp:extent cx="2102197" cy="216000"/>
          <wp:effectExtent b="0" l="0" r="0" t="0"/>
          <wp:docPr id="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102197"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exend Light" w:cs="Lexend Light" w:eastAsia="Lexend Light" w:hAnsi="Lexend Light"/>
        <w:color w:val="222222"/>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300" w:before="300" w:lineRule="auto"/>
    </w:pPr>
    <w:rPr>
      <w:rFonts w:ascii="Lexend" w:cs="Lexend" w:eastAsia="Lexend" w:hAnsi="Lexend"/>
      <w:b w:val="1"/>
      <w:color w:val="000000"/>
      <w:sz w:val="48"/>
      <w:szCs w:val="48"/>
    </w:rPr>
  </w:style>
  <w:style w:type="paragraph" w:styleId="Heading2">
    <w:name w:val="heading 2"/>
    <w:basedOn w:val="Normal"/>
    <w:next w:val="Normal"/>
    <w:pPr>
      <w:keepNext w:val="1"/>
      <w:keepLines w:val="1"/>
      <w:spacing w:after="300" w:lineRule="auto"/>
    </w:pPr>
    <w:rPr>
      <w:sz w:val="40"/>
      <w:szCs w:val="40"/>
    </w:rPr>
  </w:style>
  <w:style w:type="paragraph" w:styleId="Heading3">
    <w:name w:val="heading 3"/>
    <w:basedOn w:val="Normal"/>
    <w:next w:val="Normal"/>
    <w:pPr>
      <w:keepNext w:val="1"/>
      <w:keepLines w:val="1"/>
      <w:spacing w:after="240" w:lineRule="auto"/>
    </w:pPr>
    <w:rPr>
      <w:rFonts w:ascii="Lexend SemiBold" w:cs="Lexend SemiBold" w:eastAsia="Lexend SemiBold" w:hAnsi="Lexend SemiBold"/>
      <w:sz w:val="32"/>
      <w:szCs w:val="32"/>
    </w:rPr>
  </w:style>
  <w:style w:type="paragraph" w:styleId="Heading4">
    <w:name w:val="heading 4"/>
    <w:basedOn w:val="Normal"/>
    <w:next w:val="Normal"/>
    <w:pPr>
      <w:keepNext w:val="1"/>
      <w:keepLines w:val="1"/>
      <w:spacing w:after="100" w:lineRule="auto"/>
    </w:pPr>
    <w:rPr>
      <w:rFonts w:ascii="Lexend SemiBold" w:cs="Lexend SemiBold" w:eastAsia="Lexend SemiBold" w:hAnsi="Lexend SemiBold"/>
      <w:color w:val="000000"/>
      <w:sz w:val="26"/>
      <w:szCs w:val="26"/>
    </w:rPr>
  </w:style>
  <w:style w:type="paragraph" w:styleId="Heading5">
    <w:name w:val="heading 5"/>
    <w:basedOn w:val="Normal"/>
    <w:next w:val="Normal"/>
    <w:pPr>
      <w:keepNext w:val="1"/>
      <w:keepLines w:val="1"/>
      <w:spacing w:after="320" w:before="320" w:lineRule="auto"/>
    </w:pPr>
    <w:rPr>
      <w:sz w:val="32"/>
      <w:szCs w:val="32"/>
    </w:rPr>
  </w:style>
  <w:style w:type="paragraph" w:styleId="Heading6">
    <w:name w:val="heading 6"/>
    <w:basedOn w:val="Normal"/>
    <w:next w:val="Normal"/>
    <w:pPr>
      <w:keepNext w:val="1"/>
      <w:keepLines w:val="1"/>
    </w:pPr>
    <w:rPr>
      <w:rFonts w:ascii="Lexend Medium" w:cs="Lexend Medium" w:eastAsia="Lexend Medium" w:hAnsi="Lexend Medium"/>
      <w:color w:val="000000"/>
      <w:sz w:val="26"/>
      <w:szCs w:val="26"/>
    </w:rPr>
  </w:style>
  <w:style w:type="paragraph" w:styleId="Title">
    <w:name w:val="Title"/>
    <w:basedOn w:val="Normal"/>
    <w:next w:val="Normal"/>
    <w:pPr>
      <w:keepNext w:val="1"/>
      <w:keepLines w:val="1"/>
      <w:spacing w:after="300" w:before="300" w:lineRule="auto"/>
    </w:pPr>
    <w:rPr>
      <w:rFonts w:ascii="Lexend" w:cs="Lexend" w:eastAsia="Lexend" w:hAnsi="Lexend"/>
      <w:b w:val="1"/>
      <w:color w:val="000000"/>
      <w:sz w:val="48"/>
      <w:szCs w:val="48"/>
    </w:rPr>
  </w:style>
  <w:style w:type="paragraph" w:styleId="Subtitle">
    <w:name w:val="Subtitle"/>
    <w:basedOn w:val="Normal"/>
    <w:next w:val="Normal"/>
    <w:pPr>
      <w:keepNext w:val="1"/>
      <w:keepLines w:val="1"/>
      <w:spacing w:after="300" w:lineRule="auto"/>
    </w:pPr>
    <w:rPr>
      <w:sz w:val="40"/>
      <w:szCs w:val="4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s://www.benedictblythe.com/allergy-safe-food-lessons-checklist-for-schools/" TargetMode="External"/><Relationship Id="rId7" Type="http://schemas.openxmlformats.org/officeDocument/2006/relationships/hyperlink" Target="https://thenational.academy/api/preview/blog/using-our-cooking-and-nutrition-resources-in-the-secondary-classroom"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LexendSemiBold-regular.ttf"/><Relationship Id="rId2" Type="http://schemas.openxmlformats.org/officeDocument/2006/relationships/font" Target="fonts/LexendSemiBold-bold.ttf"/><Relationship Id="rId3" Type="http://schemas.openxmlformats.org/officeDocument/2006/relationships/font" Target="fonts/LexendLight-regular.ttf"/><Relationship Id="rId4" Type="http://schemas.openxmlformats.org/officeDocument/2006/relationships/font" Target="fonts/LexendLight-bold.ttf"/><Relationship Id="rId5" Type="http://schemas.openxmlformats.org/officeDocument/2006/relationships/font" Target="fonts/LexendMedium-regular.ttf"/><Relationship Id="rId6" Type="http://schemas.openxmlformats.org/officeDocument/2006/relationships/font" Target="fonts/LexendMedium-bold.ttf"/><Relationship Id="rId7" Type="http://schemas.openxmlformats.org/officeDocument/2006/relationships/font" Target="fonts/Lexend-regular.ttf"/><Relationship Id="rId8" Type="http://schemas.openxmlformats.org/officeDocument/2006/relationships/font" Target="fonts/Lexend-bold.tt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